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Pr="00224461" w:rsidRDefault="003271F9" w:rsidP="00E62FB6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9.1pt;margin-top:23pt;width:355.4pt;height:25.8pt;z-index:251658240" fillcolor="#c6f" stroked="f">
            <v:textbox style="mso-next-textbox:#_x0000_s1026">
              <w:txbxContent>
                <w:p w:rsidR="00D411E4" w:rsidRPr="00ED2FD8" w:rsidRDefault="00ED2FD8" w:rsidP="00E62FB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ПРАКТИЧНЕ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</w:t>
      </w:r>
      <w:bookmarkStart w:id="0" w:name="_GoBack"/>
      <w:bookmarkEnd w:id="0"/>
      <w:r w:rsidR="00E62FB6">
        <w:rPr>
          <w:b/>
          <w:noProof/>
          <w:lang w:val="ru-RU" w:eastAsia="ru-RU" w:bidi="ar-SA"/>
        </w:rPr>
        <w:drawing>
          <wp:inline distT="0" distB="0" distL="0" distR="0">
            <wp:extent cx="739238" cy="647700"/>
            <wp:effectExtent l="19050" t="0" r="371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D8" w:rsidRDefault="00ED2FD8" w:rsidP="005228FA">
      <w:pPr>
        <w:autoSpaceDE w:val="0"/>
        <w:autoSpaceDN w:val="0"/>
        <w:adjustRightInd w:val="0"/>
        <w:spacing w:after="0" w:line="19" w:lineRule="atLeast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28"/>
          <w:szCs w:val="28"/>
          <w:lang w:val="uk-UA"/>
        </w:rPr>
        <w:t>ІНСТРУКЦІЙНА КАРТА</w:t>
      </w:r>
    </w:p>
    <w:p w:rsidR="00E62FB6" w:rsidRPr="00E62FB6" w:rsidRDefault="00E62FB6" w:rsidP="00E62F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bCs/>
          <w:i/>
          <w:sz w:val="32"/>
          <w:szCs w:val="32"/>
          <w:lang w:val="uk-UA"/>
        </w:rPr>
      </w:pPr>
      <w:r w:rsidRPr="00E62FB6">
        <w:rPr>
          <w:rFonts w:ascii="Century Schoolbook" w:eastAsia="Times New Roman" w:hAnsi="Century Schoolbook" w:cs="Times New Roman"/>
          <w:b/>
          <w:sz w:val="32"/>
          <w:szCs w:val="32"/>
        </w:rPr>
        <w:t>Тема</w:t>
      </w:r>
      <w:r w:rsidRPr="00E62FB6">
        <w:rPr>
          <w:rFonts w:ascii="Century Schoolbook" w:eastAsia="Times New Roman" w:hAnsi="Century Schoolbook" w:cs="Times New Roman"/>
          <w:sz w:val="32"/>
          <w:szCs w:val="32"/>
        </w:rPr>
        <w:t>:</w:t>
      </w:r>
      <w:r w:rsidRPr="00E62FB6">
        <w:rPr>
          <w:rFonts w:ascii="Century Schoolbook" w:eastAsia="Times New Roman" w:hAnsi="Century Schoolbook" w:cs="Times New Roman"/>
          <w:sz w:val="32"/>
          <w:szCs w:val="32"/>
          <w:lang w:val="uk-UA"/>
        </w:rPr>
        <w:t xml:space="preserve"> </w:t>
      </w:r>
      <w:r w:rsidR="002524B6">
        <w:rPr>
          <w:rFonts w:ascii="Century Schoolbook" w:eastAsia="Times New Roman" w:hAnsi="Century Schoolbook" w:cs="Times New Roman"/>
          <w:b/>
          <w:i/>
          <w:color w:val="000000"/>
          <w:sz w:val="32"/>
          <w:szCs w:val="32"/>
          <w:lang w:val="uk-UA"/>
        </w:rPr>
        <w:t>Місцеві фінанси</w:t>
      </w:r>
    </w:p>
    <w:p w:rsidR="002524B6" w:rsidRPr="002524B6" w:rsidRDefault="002524B6" w:rsidP="002524B6">
      <w:pPr>
        <w:keepNext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2524B6" w:rsidRPr="002524B6" w:rsidRDefault="002524B6" w:rsidP="002524B6">
      <w:pPr>
        <w:keepNext/>
        <w:spacing w:after="0"/>
        <w:ind w:firstLine="709"/>
        <w:jc w:val="both"/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/>
        </w:rPr>
      </w:pPr>
      <w:r w:rsidRPr="002524B6">
        <w:rPr>
          <w:rFonts w:ascii="Century Schoolbook" w:eastAsia="Calibri" w:hAnsi="Century Schoolbook" w:cs="Times New Roman"/>
          <w:b/>
          <w:bCs/>
          <w:sz w:val="28"/>
          <w:szCs w:val="28"/>
          <w:lang w:val="uk-UA"/>
        </w:rPr>
        <w:t>Мета</w:t>
      </w:r>
      <w:r w:rsidRPr="002524B6">
        <w:rPr>
          <w:rFonts w:ascii="Century Schoolbook" w:eastAsia="Calibri" w:hAnsi="Century Schoolbook" w:cs="Times New Roman"/>
          <w:b/>
          <w:sz w:val="28"/>
          <w:szCs w:val="28"/>
          <w:lang w:val="uk-UA"/>
        </w:rPr>
        <w:t>:</w:t>
      </w:r>
      <w:r w:rsidRPr="002524B6">
        <w:rPr>
          <w:rFonts w:ascii="Century Schoolbook" w:eastAsia="Calibri" w:hAnsi="Century Schoolbook" w:cs="Times New Roman"/>
          <w:sz w:val="28"/>
          <w:szCs w:val="28"/>
          <w:lang w:val="uk-UA"/>
        </w:rPr>
        <w:t xml:space="preserve"> </w:t>
      </w:r>
      <w:r w:rsidRPr="002524B6">
        <w:rPr>
          <w:rFonts w:ascii="Century Schoolbook" w:eastAsia="Calibri" w:hAnsi="Century Schoolbook" w:cs="Times New Roman"/>
          <w:bCs/>
          <w:i/>
          <w:iCs/>
          <w:sz w:val="28"/>
          <w:szCs w:val="28"/>
          <w:lang w:val="uk-UA"/>
        </w:rPr>
        <w:t>засвоєння базових знань щодо сутності місцевих фінансів, бюджетного федералізму і фінансового вирівнювання;засвоєння базових знань щодо сутності і особливостей функціонування фінансів на рівні домашніх господарств</w:t>
      </w:r>
    </w:p>
    <w:p w:rsidR="002524B6" w:rsidRPr="002524B6" w:rsidRDefault="002524B6" w:rsidP="002524B6">
      <w:pPr>
        <w:spacing w:after="0" w:line="240" w:lineRule="auto"/>
        <w:ind w:firstLine="426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>Література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>:</w:t>
      </w:r>
    </w:p>
    <w:p w:rsidR="002524B6" w:rsidRPr="002524B6" w:rsidRDefault="002524B6" w:rsidP="002524B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426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  <w:t>Законодавчі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  <w:t>нормативні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  <w:t>акти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  <w:t>:</w:t>
      </w:r>
    </w:p>
    <w:p w:rsidR="002524B6" w:rsidRPr="002524B6" w:rsidRDefault="002524B6" w:rsidP="002524B6">
      <w:pPr>
        <w:widowControl w:val="0"/>
        <w:tabs>
          <w:tab w:val="left" w:pos="993"/>
          <w:tab w:val="left" w:pos="1276"/>
          <w:tab w:val="left" w:pos="2008"/>
          <w:tab w:val="left" w:pos="3220"/>
          <w:tab w:val="left" w:pos="5810"/>
          <w:tab w:val="left" w:pos="7649"/>
          <w:tab w:val="left" w:pos="10348"/>
        </w:tabs>
        <w:autoSpaceDE w:val="0"/>
        <w:autoSpaceDN w:val="0"/>
        <w:spacing w:after="0" w:line="240" w:lineRule="auto"/>
        <w:ind w:firstLine="426"/>
        <w:jc w:val="both"/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</w:pPr>
      <w:r w:rsidRPr="002524B6">
        <w:rPr>
          <w:rFonts w:ascii="Century Schoolbook" w:eastAsia="Times New Roman" w:hAnsi="Century Schoolbook" w:cs="Times New Roman"/>
          <w:spacing w:val="-3"/>
          <w:sz w:val="28"/>
          <w:szCs w:val="28"/>
          <w:lang w:bidi="en-US"/>
        </w:rPr>
        <w:t xml:space="preserve">1. </w:t>
      </w:r>
      <w:proofErr w:type="spellStart"/>
      <w:r w:rsidRPr="002524B6">
        <w:rPr>
          <w:rFonts w:ascii="Century Schoolbook" w:eastAsia="Times New Roman" w:hAnsi="Century Schoolbook" w:cs="Times New Roman"/>
          <w:spacing w:val="-3"/>
          <w:sz w:val="28"/>
          <w:szCs w:val="28"/>
          <w:lang w:bidi="en-US"/>
        </w:rPr>
        <w:t>Бюджетний</w:t>
      </w:r>
      <w:proofErr w:type="spellEnd"/>
      <w:r w:rsidRPr="002524B6">
        <w:rPr>
          <w:rFonts w:ascii="Century Schoolbook" w:eastAsia="Times New Roman" w:hAnsi="Century Schoolbook" w:cs="Times New Roman"/>
          <w:spacing w:val="-3"/>
          <w:sz w:val="28"/>
          <w:szCs w:val="28"/>
          <w:lang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pacing w:val="-5"/>
          <w:sz w:val="28"/>
          <w:szCs w:val="28"/>
          <w:lang w:bidi="en-US"/>
        </w:rPr>
        <w:t xml:space="preserve">кодекс </w:t>
      </w:r>
      <w:proofErr w:type="spellStart"/>
      <w:r w:rsidRPr="002524B6">
        <w:rPr>
          <w:rFonts w:ascii="Century Schoolbook" w:eastAsia="Times New Roman" w:hAnsi="Century Schoolbook" w:cs="Times New Roman"/>
          <w:spacing w:val="-5"/>
          <w:sz w:val="28"/>
          <w:szCs w:val="28"/>
          <w:lang w:bidi="en-US"/>
        </w:rPr>
        <w:t>України</w:t>
      </w:r>
      <w:proofErr w:type="spellEnd"/>
      <w:r w:rsidRPr="002524B6">
        <w:rPr>
          <w:rFonts w:ascii="Century Schoolbook" w:eastAsia="Times New Roman" w:hAnsi="Century Schoolbook" w:cs="Times New Roman"/>
          <w:spacing w:val="-5"/>
          <w:sz w:val="28"/>
          <w:szCs w:val="28"/>
          <w:lang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в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i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08.07.2010 № 2456-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VI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//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Офіційний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сайт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Верховно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Р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ади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ab/>
      </w:r>
      <w:proofErr w:type="spellStart"/>
      <w:r w:rsidRPr="002524B6">
        <w:rPr>
          <w:rFonts w:ascii="Century Schoolbook" w:eastAsia="Times New Roman" w:hAnsi="Century Schoolbook" w:cs="Times New Roman"/>
          <w:spacing w:val="-4"/>
          <w:sz w:val="28"/>
          <w:szCs w:val="28"/>
          <w:lang w:bidi="en-US"/>
        </w:rPr>
        <w:t>України</w:t>
      </w:r>
      <w:proofErr w:type="spellEnd"/>
      <w:r w:rsidRPr="002524B6">
        <w:rPr>
          <w:rFonts w:ascii="Century Schoolbook" w:eastAsia="Times New Roman" w:hAnsi="Century Schoolbook" w:cs="Times New Roman"/>
          <w:spacing w:val="-4"/>
          <w:sz w:val="28"/>
          <w:szCs w:val="28"/>
          <w:lang w:bidi="en-US"/>
        </w:rPr>
        <w:t>.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–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[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Електронний ресурс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]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–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Режим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доступу: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hyperlink r:id="rId6" w:history="1"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http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://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zakon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1.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rada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.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gov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.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ua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/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cgibin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/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laws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/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main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.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cgi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?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user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=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a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&amp;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find</w:t>
        </w:r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=1&amp;</w:t>
        </w:r>
        <w:proofErr w:type="spellStart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typ</w:t>
        </w:r>
        <w:proofErr w:type="spellEnd"/>
        <w:r w:rsidRPr="002524B6">
          <w:rPr>
            <w:rStyle w:val="a8"/>
            <w:rFonts w:ascii="Century Schoolbook" w:eastAsia="Times New Roman" w:hAnsi="Century Schoolbook" w:cs="Times New Roman"/>
            <w:sz w:val="28"/>
            <w:szCs w:val="28"/>
            <w:lang w:val="uk-UA" w:bidi="en-US"/>
          </w:rPr>
          <w:t>=21</w:t>
        </w:r>
      </w:hyperlink>
    </w:p>
    <w:p w:rsidR="002524B6" w:rsidRPr="002524B6" w:rsidRDefault="002524B6" w:rsidP="002524B6">
      <w:pPr>
        <w:pStyle w:val="a7"/>
        <w:widowControl w:val="0"/>
        <w:numPr>
          <w:ilvl w:val="0"/>
          <w:numId w:val="20"/>
        </w:numPr>
        <w:tabs>
          <w:tab w:val="left" w:pos="993"/>
          <w:tab w:val="left" w:pos="1276"/>
          <w:tab w:val="left" w:pos="2007"/>
          <w:tab w:val="left" w:pos="200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Century Schoolbook" w:hAnsi="Century Schoolbook"/>
          <w:sz w:val="28"/>
          <w:szCs w:val="28"/>
        </w:rPr>
      </w:pPr>
      <w:r w:rsidRPr="002524B6">
        <w:rPr>
          <w:rFonts w:ascii="Century Schoolbook" w:hAnsi="Century Schoolbook"/>
          <w:spacing w:val="-3"/>
          <w:sz w:val="28"/>
          <w:szCs w:val="28"/>
        </w:rPr>
        <w:t xml:space="preserve">Закон </w:t>
      </w:r>
      <w:proofErr w:type="spellStart"/>
      <w:r w:rsidRPr="002524B6">
        <w:rPr>
          <w:rFonts w:ascii="Century Schoolbook" w:hAnsi="Century Schoolbook"/>
          <w:spacing w:val="-5"/>
          <w:sz w:val="28"/>
          <w:szCs w:val="28"/>
        </w:rPr>
        <w:t>України</w:t>
      </w:r>
      <w:proofErr w:type="spellEnd"/>
      <w:r w:rsidRPr="002524B6">
        <w:rPr>
          <w:rFonts w:ascii="Century Schoolbook" w:hAnsi="Century Schoolbook"/>
          <w:spacing w:val="-5"/>
          <w:sz w:val="28"/>
          <w:szCs w:val="28"/>
        </w:rPr>
        <w:t xml:space="preserve"> </w:t>
      </w:r>
      <w:r w:rsidRPr="002524B6">
        <w:rPr>
          <w:rFonts w:ascii="Century Schoolbook" w:hAnsi="Century Schoolbook"/>
          <w:sz w:val="28"/>
          <w:szCs w:val="28"/>
        </w:rPr>
        <w:t xml:space="preserve">"Про </w:t>
      </w:r>
      <w:proofErr w:type="spellStart"/>
      <w:proofErr w:type="gramStart"/>
      <w:r w:rsidRPr="002524B6">
        <w:rPr>
          <w:rFonts w:ascii="Century Schoolbook" w:hAnsi="Century Schoolbook"/>
          <w:sz w:val="28"/>
          <w:szCs w:val="28"/>
        </w:rPr>
        <w:t>м</w:t>
      </w:r>
      <w:proofErr w:type="gramEnd"/>
      <w:r w:rsidRPr="002524B6">
        <w:rPr>
          <w:rFonts w:ascii="Century Schoolbook" w:hAnsi="Century Schoolbook"/>
          <w:sz w:val="28"/>
          <w:szCs w:val="28"/>
        </w:rPr>
        <w:t>ісцеве</w:t>
      </w:r>
      <w:proofErr w:type="spellEnd"/>
      <w:r w:rsidRPr="002524B6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2524B6">
        <w:rPr>
          <w:rFonts w:ascii="Century Schoolbook" w:hAnsi="Century Schoolbook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hAnsi="Century Schoolbook"/>
          <w:sz w:val="28"/>
          <w:szCs w:val="28"/>
        </w:rPr>
        <w:t xml:space="preserve"> в </w:t>
      </w:r>
      <w:proofErr w:type="spellStart"/>
      <w:r w:rsidRPr="002524B6">
        <w:rPr>
          <w:rFonts w:ascii="Century Schoolbook" w:hAnsi="Century Schoolbook"/>
          <w:spacing w:val="-4"/>
          <w:sz w:val="28"/>
          <w:szCs w:val="28"/>
        </w:rPr>
        <w:t>Україні</w:t>
      </w:r>
      <w:proofErr w:type="spellEnd"/>
      <w:r w:rsidRPr="002524B6">
        <w:rPr>
          <w:rFonts w:ascii="Century Schoolbook" w:hAnsi="Century Schoolbook"/>
          <w:spacing w:val="-4"/>
          <w:sz w:val="28"/>
          <w:szCs w:val="28"/>
        </w:rPr>
        <w:t xml:space="preserve">" </w:t>
      </w:r>
      <w:proofErr w:type="spellStart"/>
      <w:r w:rsidRPr="002524B6">
        <w:rPr>
          <w:rFonts w:ascii="Century Schoolbook" w:hAnsi="Century Schoolbook"/>
          <w:sz w:val="28"/>
          <w:szCs w:val="28"/>
        </w:rPr>
        <w:t>вiд</w:t>
      </w:r>
      <w:proofErr w:type="spellEnd"/>
      <w:r w:rsidRPr="002524B6">
        <w:rPr>
          <w:rFonts w:ascii="Century Schoolbook" w:hAnsi="Century Schoolbook"/>
          <w:sz w:val="28"/>
          <w:szCs w:val="28"/>
        </w:rPr>
        <w:t xml:space="preserve"> 21.05.1997р. №</w:t>
      </w:r>
      <w:r w:rsidRPr="002524B6">
        <w:rPr>
          <w:rFonts w:ascii="Century Schoolbook" w:hAnsi="Century Schoolbook"/>
          <w:spacing w:val="-3"/>
          <w:sz w:val="28"/>
          <w:szCs w:val="28"/>
        </w:rPr>
        <w:t>280/97-ВР.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–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[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Електронний ресурс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>]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–</w:t>
      </w:r>
      <w:r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Режим доступу: </w:t>
      </w:r>
      <w:hyperlink r:id="rId7"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http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://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zakon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.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rada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.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gov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.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ua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/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cgi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-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bin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/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laws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/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main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.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cgi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?</w:t>
        </w:r>
        <w:proofErr w:type="spellStart"/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nreg</w:t>
        </w:r>
        <w:proofErr w:type="spellEnd"/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=280%2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F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97-%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E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2%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val="en-US" w:bidi="en-US"/>
          </w:rPr>
          <w:t>F</w:t>
        </w:r>
        <w:r w:rsidRPr="002524B6">
          <w:rPr>
            <w:rFonts w:ascii="Century Schoolbook" w:eastAsia="Times New Roman" w:hAnsi="Century Schoolbook" w:cs="Times New Roman"/>
            <w:sz w:val="28"/>
            <w:szCs w:val="28"/>
            <w:lang w:bidi="en-US"/>
          </w:rPr>
          <w:t>0</w:t>
        </w:r>
      </w:hyperlink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.</w:t>
      </w:r>
    </w:p>
    <w:p w:rsidR="002524B6" w:rsidRPr="002524B6" w:rsidRDefault="002524B6" w:rsidP="002524B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426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bidi="en-US"/>
        </w:rPr>
      </w:pPr>
    </w:p>
    <w:p w:rsidR="002524B6" w:rsidRPr="002524B6" w:rsidRDefault="002524B6" w:rsidP="002524B6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426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>Основна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>та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>допоміжна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>література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  <w:lang w:val="en-US" w:bidi="en-US"/>
        </w:rPr>
        <w:t>:</w:t>
      </w:r>
    </w:p>
    <w:p w:rsidR="002524B6" w:rsidRPr="002524B6" w:rsidRDefault="002524B6" w:rsidP="002524B6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Century Schoolbook" w:eastAsia="Calibri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Бліщук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К. М.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Державні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та </w:t>
      </w:r>
      <w:proofErr w:type="spellStart"/>
      <w:proofErr w:type="gramStart"/>
      <w:r w:rsidRPr="002524B6">
        <w:rPr>
          <w:rFonts w:ascii="Century Schoolbook" w:eastAsia="Calibri" w:hAnsi="Century Schoolbook" w:cs="Times New Roman"/>
          <w:sz w:val="28"/>
          <w:szCs w:val="28"/>
        </w:rPr>
        <w:t>м</w:t>
      </w:r>
      <w:proofErr w:type="gramEnd"/>
      <w:r w:rsidRPr="002524B6">
        <w:rPr>
          <w:rFonts w:ascii="Century Schoolbook" w:eastAsia="Calibri" w:hAnsi="Century Schoolbook" w:cs="Times New Roman"/>
          <w:sz w:val="28"/>
          <w:szCs w:val="28"/>
        </w:rPr>
        <w:t>і</w:t>
      </w:r>
      <w:r>
        <w:rPr>
          <w:rFonts w:ascii="Century Schoolbook" w:eastAsia="Calibri" w:hAnsi="Century Schoolbook" w:cs="Times New Roman"/>
          <w:sz w:val="28"/>
          <w:szCs w:val="28"/>
        </w:rPr>
        <w:t>сцеві</w:t>
      </w:r>
      <w:proofErr w:type="spellEnd"/>
      <w:r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>
        <w:rPr>
          <w:rFonts w:ascii="Century Schoolbook" w:eastAsia="Calibri" w:hAnsi="Century Schoolbook" w:cs="Times New Roman"/>
          <w:sz w:val="28"/>
          <w:szCs w:val="28"/>
        </w:rPr>
        <w:t>фінанси</w:t>
      </w:r>
      <w:proofErr w:type="spellEnd"/>
      <w:r>
        <w:rPr>
          <w:rFonts w:ascii="Century Schoolbook" w:eastAsia="Calibri" w:hAnsi="Century Schoolbook" w:cs="Times New Roman"/>
          <w:sz w:val="28"/>
          <w:szCs w:val="28"/>
        </w:rPr>
        <w:t xml:space="preserve">. </w:t>
      </w:r>
      <w:proofErr w:type="spellStart"/>
      <w:r>
        <w:rPr>
          <w:rFonts w:ascii="Century Schoolbook" w:eastAsia="Calibri" w:hAnsi="Century Schoolbook" w:cs="Times New Roman"/>
          <w:sz w:val="28"/>
          <w:szCs w:val="28"/>
        </w:rPr>
        <w:t>Бюджетний</w:t>
      </w:r>
      <w:proofErr w:type="spellEnd"/>
      <w:r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>
        <w:rPr>
          <w:rFonts w:ascii="Century Schoolbook" w:eastAsia="Calibri" w:hAnsi="Century Schoolbook" w:cs="Times New Roman"/>
          <w:sz w:val="28"/>
          <w:szCs w:val="28"/>
        </w:rPr>
        <w:t>процес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: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навч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. </w:t>
      </w:r>
      <w:proofErr w:type="spellStart"/>
      <w:proofErr w:type="gramStart"/>
      <w:r w:rsidRPr="002524B6">
        <w:rPr>
          <w:rFonts w:ascii="Century Schoolbook" w:eastAsia="Calibri" w:hAnsi="Century Schoolbook" w:cs="Times New Roman"/>
          <w:sz w:val="28"/>
          <w:szCs w:val="28"/>
        </w:rPr>
        <w:t>пос</w:t>
      </w:r>
      <w:proofErr w:type="gramEnd"/>
      <w:r w:rsidRPr="002524B6">
        <w:rPr>
          <w:rFonts w:ascii="Century Schoolbook" w:eastAsia="Calibri" w:hAnsi="Century Schoolbook" w:cs="Times New Roman"/>
          <w:sz w:val="28"/>
          <w:szCs w:val="28"/>
        </w:rPr>
        <w:t>іб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. / К. М.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Бліщук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, Л. Р.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Михайлинин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. – 2-ге вид.,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переробл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доповн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. –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Львів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>, 2011. – 176 с.</w:t>
      </w:r>
    </w:p>
    <w:p w:rsidR="002524B6" w:rsidRPr="002524B6" w:rsidRDefault="002524B6" w:rsidP="002524B6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Century Schoolbook" w:eastAsia="Calibri" w:hAnsi="Century Schoolbook" w:cs="Times New Roman"/>
          <w:sz w:val="28"/>
          <w:szCs w:val="28"/>
        </w:rPr>
      </w:pPr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Кириленко О.П.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Формування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інституту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фінансів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місцеві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бюджети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України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//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Наукові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записки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Тернопільського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державного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педагогічного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університету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імені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Володимира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Гнатюка.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Серія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“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Економіка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>” –</w:t>
      </w:r>
      <w:r>
        <w:rPr>
          <w:rFonts w:ascii="Century Schoolbook" w:eastAsia="Calibri" w:hAnsi="Century Schoolbook" w:cs="Times New Roman"/>
          <w:sz w:val="28"/>
          <w:szCs w:val="28"/>
          <w:lang w:val="uk-UA"/>
        </w:rPr>
        <w:t xml:space="preserve"> </w:t>
      </w:r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2001. – № 8. – С. 76-81. </w:t>
      </w:r>
    </w:p>
    <w:p w:rsidR="002524B6" w:rsidRPr="002524B6" w:rsidRDefault="002524B6" w:rsidP="002524B6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Century Schoolbook" w:eastAsia="Calibri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Козаченко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Ю.П. 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Місцеві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фінанси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 як 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важливий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ресурс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: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теоретичний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Calibri" w:hAnsi="Century Schoolbook" w:cs="Times New Roman"/>
          <w:sz w:val="28"/>
          <w:szCs w:val="28"/>
        </w:rPr>
        <w:t>п</w:t>
      </w:r>
      <w:proofErr w:type="gramEnd"/>
      <w:r w:rsidRPr="002524B6">
        <w:rPr>
          <w:rFonts w:ascii="Century Schoolbook" w:eastAsia="Calibri" w:hAnsi="Century Schoolbook" w:cs="Times New Roman"/>
          <w:sz w:val="28"/>
          <w:szCs w:val="28"/>
        </w:rPr>
        <w:t>ідхід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/ Ю.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Козаченко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//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Актуальні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проблеми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державного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управління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>. – 2014. – № 1 (45). – С. 124</w:t>
      </w:r>
      <w:r>
        <w:rPr>
          <w:rFonts w:ascii="Century Schoolbook" w:eastAsia="Calibri" w:hAnsi="Century Schoolbook" w:cs="Times New Roman"/>
          <w:sz w:val="28"/>
          <w:szCs w:val="28"/>
          <w:lang w:val="uk-UA"/>
        </w:rPr>
        <w:t>-</w:t>
      </w:r>
      <w:r w:rsidRPr="002524B6">
        <w:rPr>
          <w:rFonts w:ascii="Century Schoolbook" w:eastAsia="Calibri" w:hAnsi="Century Schoolbook" w:cs="Times New Roman"/>
          <w:sz w:val="28"/>
          <w:szCs w:val="28"/>
        </w:rPr>
        <w:t>131.</w:t>
      </w:r>
    </w:p>
    <w:p w:rsidR="002524B6" w:rsidRPr="002524B6" w:rsidRDefault="002524B6" w:rsidP="002524B6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Century Schoolbook" w:eastAsia="Calibri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Кульчинський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М.І.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Місцеві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бюджети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механізм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їх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формування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//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Фінанси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України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>. – 2001. –</w:t>
      </w:r>
      <w:r>
        <w:rPr>
          <w:rFonts w:ascii="Century Schoolbook" w:eastAsia="Calibri" w:hAnsi="Century Schoolbook" w:cs="Times New Roman"/>
          <w:sz w:val="28"/>
          <w:szCs w:val="28"/>
          <w:lang w:val="uk-UA"/>
        </w:rPr>
        <w:t xml:space="preserve"> </w:t>
      </w:r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№ 9. – С. 98. </w:t>
      </w:r>
    </w:p>
    <w:p w:rsidR="002524B6" w:rsidRPr="002524B6" w:rsidRDefault="002524B6" w:rsidP="002524B6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Century Schoolbook" w:eastAsia="Calibri" w:hAnsi="Century Schoolbook" w:cs="Times New Roman"/>
          <w:sz w:val="28"/>
          <w:szCs w:val="28"/>
        </w:rPr>
      </w:pPr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Місцеві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бюджети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в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умовах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кризових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явищ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реформування</w:t>
      </w:r>
      <w:proofErr w:type="spellEnd"/>
      <w:proofErr w:type="gramStart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:</w:t>
      </w:r>
      <w:proofErr w:type="gram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[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монографія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] / за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заг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. ред. О. Л.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Яременка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>. – Х.</w:t>
      </w:r>
      <w:proofErr w:type="gramStart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:</w:t>
      </w:r>
      <w:proofErr w:type="gram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ХІФ УДУФМТ, 2011. – 182 с.</w:t>
      </w:r>
    </w:p>
    <w:p w:rsidR="002524B6" w:rsidRPr="002524B6" w:rsidRDefault="002524B6" w:rsidP="002524B6">
      <w:pPr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Century Schoolbook" w:eastAsia="Calibri" w:hAnsi="Century Schoolbook" w:cs="Times New Roman"/>
          <w:b/>
          <w:bCs/>
          <w:sz w:val="28"/>
          <w:szCs w:val="28"/>
        </w:rPr>
      </w:pP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Радіонов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Ю.Д.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Управлінські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Calibri" w:hAnsi="Century Schoolbook" w:cs="Times New Roman"/>
          <w:sz w:val="28"/>
          <w:szCs w:val="28"/>
        </w:rPr>
        <w:t>р</w:t>
      </w:r>
      <w:proofErr w:type="gramEnd"/>
      <w:r w:rsidRPr="002524B6">
        <w:rPr>
          <w:rFonts w:ascii="Century Schoolbook" w:eastAsia="Calibri" w:hAnsi="Century Schoolbook" w:cs="Times New Roman"/>
          <w:sz w:val="28"/>
          <w:szCs w:val="28"/>
        </w:rPr>
        <w:t>ішення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як фактор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неефективного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використання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бюджетних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коштів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/ Ю.Д.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Радіонов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//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Економіка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Calibri" w:hAnsi="Century Schoolbook" w:cs="Times New Roman"/>
          <w:sz w:val="28"/>
          <w:szCs w:val="28"/>
        </w:rPr>
        <w:t>України</w:t>
      </w:r>
      <w:proofErr w:type="spellEnd"/>
      <w:r w:rsidRPr="002524B6">
        <w:rPr>
          <w:rFonts w:ascii="Century Schoolbook" w:eastAsia="Calibri" w:hAnsi="Century Schoolbook" w:cs="Times New Roman"/>
          <w:sz w:val="28"/>
          <w:szCs w:val="28"/>
        </w:rPr>
        <w:t>.– 2013.– № 12.– С. 41</w:t>
      </w:r>
      <w:r>
        <w:rPr>
          <w:rFonts w:ascii="Century Schoolbook" w:eastAsia="Calibri" w:hAnsi="Century Schoolbook" w:cs="Times New Roman"/>
          <w:sz w:val="28"/>
          <w:szCs w:val="28"/>
          <w:lang w:val="uk-UA"/>
        </w:rPr>
        <w:t>-</w:t>
      </w:r>
      <w:r w:rsidRPr="002524B6">
        <w:rPr>
          <w:rFonts w:ascii="Century Schoolbook" w:eastAsia="Calibri" w:hAnsi="Century Schoolbook" w:cs="Times New Roman"/>
          <w:sz w:val="28"/>
          <w:szCs w:val="28"/>
        </w:rPr>
        <w:t>51</w:t>
      </w:r>
      <w:r>
        <w:rPr>
          <w:rFonts w:ascii="Century Schoolbook" w:eastAsia="Calibri" w:hAnsi="Century Schoolbook" w:cs="Times New Roman"/>
          <w:sz w:val="28"/>
          <w:szCs w:val="28"/>
          <w:lang w:val="uk-UA"/>
        </w:rPr>
        <w:t>.</w:t>
      </w:r>
      <w:r w:rsidRPr="002524B6">
        <w:rPr>
          <w:rFonts w:ascii="Century Schoolbook" w:eastAsia="Calibri" w:hAnsi="Century Schoolbook" w:cs="Times New Roman"/>
          <w:sz w:val="28"/>
          <w:szCs w:val="28"/>
        </w:rPr>
        <w:t xml:space="preserve"> </w:t>
      </w:r>
    </w:p>
    <w:p w:rsidR="002524B6" w:rsidRDefault="002524B6" w:rsidP="002524B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4B6" w:rsidRPr="002524B6" w:rsidRDefault="002524B6" w:rsidP="002524B6">
      <w:pPr>
        <w:spacing w:after="0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>Актуалізація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>опорних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>знань</w:t>
      </w:r>
      <w:proofErr w:type="spellEnd"/>
      <w:r w:rsidRPr="002524B6">
        <w:rPr>
          <w:rFonts w:ascii="Century Schoolbook" w:eastAsia="Times New Roman" w:hAnsi="Century Schoolbook" w:cs="Times New Roman"/>
          <w:b/>
          <w:sz w:val="28"/>
          <w:szCs w:val="28"/>
        </w:rPr>
        <w:t>: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В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чому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полягає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сутність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?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lastRenderedPageBreak/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причини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виникнення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в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?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структурні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елементи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системи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в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?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способи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pacing w:val="-3"/>
          <w:sz w:val="28"/>
          <w:szCs w:val="28"/>
          <w:lang w:bidi="en-US"/>
        </w:rPr>
        <w:t>формування</w:t>
      </w:r>
      <w:proofErr w:type="spellEnd"/>
      <w:r w:rsidRPr="002524B6">
        <w:rPr>
          <w:rFonts w:ascii="Century Schoolbook" w:eastAsia="Times New Roman" w:hAnsi="Century Schoolbook" w:cs="Times New Roman"/>
          <w:spacing w:val="-3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pacing w:val="-4"/>
          <w:sz w:val="28"/>
          <w:szCs w:val="28"/>
          <w:lang w:bidi="en-US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pacing w:val="-4"/>
          <w:sz w:val="28"/>
          <w:szCs w:val="28"/>
          <w:lang w:bidi="en-US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м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органіввлади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?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Сутність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місце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та роль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домогосподарств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фінансовій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системі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держави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.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Джерела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формування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доходної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бази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бюджету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домогосподарств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.</w:t>
      </w:r>
    </w:p>
    <w:p w:rsidR="002524B6" w:rsidRPr="002524B6" w:rsidRDefault="002524B6" w:rsidP="002524B6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Напрями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здійснення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витрат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домогосподарств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lang w:bidi="en-US"/>
        </w:rPr>
        <w:t>.</w:t>
      </w:r>
    </w:p>
    <w:p w:rsidR="002524B6" w:rsidRPr="002524B6" w:rsidRDefault="002524B6" w:rsidP="002524B6">
      <w:pPr>
        <w:widowControl w:val="0"/>
        <w:tabs>
          <w:tab w:val="left" w:pos="1134"/>
        </w:tabs>
        <w:autoSpaceDE w:val="0"/>
        <w:autoSpaceDN w:val="0"/>
        <w:spacing w:after="0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</w:p>
    <w:p w:rsidR="002524B6" w:rsidRPr="002524B6" w:rsidRDefault="002524B6" w:rsidP="002524B6">
      <w:pPr>
        <w:spacing w:after="0"/>
        <w:ind w:hanging="748"/>
        <w:jc w:val="center"/>
        <w:outlineLvl w:val="0"/>
        <w:rPr>
          <w:rFonts w:ascii="Century Schoolbook" w:eastAsia="Times New Roman" w:hAnsi="Century Schoolbook" w:cs="Times New Roman"/>
          <w:b/>
          <w:bCs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Змі</w:t>
      </w:r>
      <w:proofErr w:type="gramStart"/>
      <w:r w:rsidRPr="002524B6">
        <w:rPr>
          <w:rFonts w:ascii="Century Schoolbook" w:eastAsia="Times New Roman" w:hAnsi="Century Schoolbook" w:cs="Times New Roman"/>
          <w:b/>
          <w:bCs/>
          <w:sz w:val="28"/>
          <w:szCs w:val="28"/>
        </w:rPr>
        <w:t>ст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b/>
          <w:bCs/>
          <w:sz w:val="28"/>
          <w:szCs w:val="28"/>
        </w:rPr>
        <w:t xml:space="preserve">  </w:t>
      </w:r>
      <w:proofErr w:type="spellStart"/>
      <w:r w:rsidRPr="002524B6">
        <w:rPr>
          <w:rFonts w:ascii="Century Schoolbook" w:eastAsia="Times New Roman" w:hAnsi="Century Schoolbook" w:cs="Times New Roman"/>
          <w:b/>
          <w:bCs/>
          <w:sz w:val="28"/>
          <w:szCs w:val="28"/>
        </w:rPr>
        <w:t>завдань</w:t>
      </w:r>
      <w:proofErr w:type="spellEnd"/>
      <w:r w:rsidRPr="002524B6">
        <w:rPr>
          <w:rFonts w:ascii="Century Schoolbook" w:eastAsia="Times New Roman" w:hAnsi="Century Schoolbook" w:cs="Times New Roman"/>
          <w:b/>
          <w:bCs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 xml:space="preserve">Задача 1.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Розрахувати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дефіциту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розмі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субвенції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наступними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показниками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2524B6" w:rsidRPr="002524B6" w:rsidRDefault="002524B6" w:rsidP="002524B6">
      <w:pPr>
        <w:pStyle w:val="a7"/>
        <w:numPr>
          <w:ilvl w:val="0"/>
          <w:numId w:val="24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– 2 300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4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– 2 800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4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– 5 900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4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субвенції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45 %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дефіціту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ішення</w:t>
      </w:r>
      <w:proofErr w:type="spell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Бюджетний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дефіцит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=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Витрати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–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Надходження</w:t>
      </w:r>
      <w:proofErr w:type="spellEnd"/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Надходження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=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доходи +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доходи</w:t>
      </w:r>
      <w:proofErr w:type="gramEnd"/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Бюджетний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дефіцит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= 5 900 – (2 300 + 2 800) = 800  тис</w:t>
      </w:r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Сума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субвенції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= 0,45 * 800 = 360 тис</w:t>
      </w:r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 xml:space="preserve">Задача 2.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Розрахувати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окремо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ід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зборів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якщо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відомі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наступні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обсяги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надходжень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 бюджету: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єдиний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- 26,6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доходи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фізичних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осіб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- 27322,5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для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паркування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транспортних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засобів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- 158,0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>плата за землю – 346,1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туристичний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- 2771,9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мито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- 1960,5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провадження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деяких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підприємницької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342,9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плата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ліцензії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сертифікати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- 388,6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адміністративні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штрафи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та 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санкції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- 65,8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реєстраційний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проведення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реєстрації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»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єктів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підприємницької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148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фіксований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сільськогосподарський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231,7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– 1006,4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5"/>
        </w:numPr>
        <w:tabs>
          <w:tab w:val="left" w:pos="900"/>
          <w:tab w:val="left" w:pos="1080"/>
        </w:tabs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lastRenderedPageBreak/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– 735,8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ішення</w:t>
      </w:r>
      <w:proofErr w:type="spell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економічною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природою доходи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влади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поділяються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-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доходи: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формуються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внаслідок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ішень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прийнятих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органами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підвідомчій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їм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території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До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належать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збори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;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платежі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запроваджуються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органами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; доходи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комунального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майна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підприємств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комунальної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    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-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доходи: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довготривалій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основі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передаються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повному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обсязі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або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визначеній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єдиній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для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усіх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До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належать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загальнодержавні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збори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або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традиційно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формують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дохідну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фізичних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осіб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мито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плата за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іцензії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торгові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патенти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тощо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).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Згідно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положеннями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Бюджетного кодексу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дохідна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складається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що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враховуються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при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визначенні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обсягу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міжбюджетних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трансфертів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доходи),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що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не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враховуються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при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визначенні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обсягу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міжбюджетних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трансферті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доходи).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Перелік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регламенту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Бюджетним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кодексом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Розділ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ІІІ «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» Глава 2,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статті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64 – 69,71). 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Перелік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загальнодержавних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зборі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регламентується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Податковим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кодексом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України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Розділ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І,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стаття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9).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доходи: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єдиний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- 26,6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для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паркування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транспортних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засобів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- 158,0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>плата за землю – 346,1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туристичний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- 2771,9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провадження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деяких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підприємницької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342,9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адміністративні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штрафи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та 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санкції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65,8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фіксований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сільськогосподарський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231,7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– 1006,4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власних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:  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4949,4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доходи: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доходи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фізичних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осіб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- 27322,5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lastRenderedPageBreak/>
        <w:t>державне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мито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- 1960,5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плата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ліцензії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сертифікати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- 388,6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реєстраційний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проведення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реєстрації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»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єктів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підприємницької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148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– 735,8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закріплених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: 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30555,4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: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+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=35504,8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Місцеві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податки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збори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: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єдиний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- 26,6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для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паркування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транспортних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засобів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- 158,0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туристичний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- 2771,9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numPr>
          <w:ilvl w:val="0"/>
          <w:numId w:val="22"/>
        </w:numPr>
        <w:tabs>
          <w:tab w:val="left" w:pos="900"/>
        </w:tabs>
        <w:spacing w:after="0"/>
        <w:ind w:left="0"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провадження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деяких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підприємницької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342,9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податків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зборів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: 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3299,4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Частка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</w:t>
      </w:r>
      <w:proofErr w:type="gram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ід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податків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зборів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податків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зборів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/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(3299,4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/ 35504,8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.) * 100  = 9,29%.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 xml:space="preserve">Задача 3.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Розрахувати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коефіцієнт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автономії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іста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зробити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висновки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про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фінансову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незалежність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наступними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показниками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міського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складають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 10041,7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</w:t>
      </w:r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правоохоронна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10678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освіта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9390,6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охорона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здоров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»я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9873,4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val="uk-UA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житлово-комунальне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господарство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35150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рн.</w:t>
      </w:r>
      <w:proofErr w:type="spellEnd"/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цільові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фонди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1000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6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резервний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фонд – 800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Дефіцит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складає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17%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бюджету.</w:t>
      </w:r>
    </w:p>
    <w:p w:rsidR="002524B6" w:rsidRDefault="002524B6" w:rsidP="002524B6">
      <w:pPr>
        <w:spacing w:after="0"/>
        <w:ind w:left="12" w:firstLine="708"/>
        <w:jc w:val="both"/>
        <w:rPr>
          <w:rFonts w:ascii="Century Schoolbook" w:eastAsia="Times New Roman" w:hAnsi="Century Schoolbook" w:cs="Times New Roman"/>
          <w:sz w:val="28"/>
          <w:szCs w:val="28"/>
          <w:lang w:val="uk-UA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бюджету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складають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- 51300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left="12" w:firstLine="708"/>
        <w:jc w:val="both"/>
        <w:rPr>
          <w:rFonts w:ascii="Century Schoolbook" w:eastAsia="Times New Roman" w:hAnsi="Century Schoolbook" w:cs="Times New Roman"/>
          <w:sz w:val="28"/>
          <w:szCs w:val="28"/>
          <w:lang w:val="uk-UA"/>
        </w:rPr>
      </w:pP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ішення</w:t>
      </w:r>
      <w:proofErr w:type="spell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Одним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основних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показників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самостійності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ід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бази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Державного бюджету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співвідношення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обсягу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яке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виражається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коефіцієнтом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автономії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</w:t>
      </w:r>
      <w:r w:rsidRPr="002524B6">
        <w:rPr>
          <w:rFonts w:ascii="Century Schoolbook" w:eastAsia="Times New Roman" w:hAnsi="Century Schoolbook" w:cs="Times New Roman"/>
          <w:sz w:val="28"/>
          <w:szCs w:val="28"/>
          <w:vertAlign w:val="subscript"/>
        </w:rPr>
        <w:t>фа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):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lastRenderedPageBreak/>
        <w:t>К</w:t>
      </w:r>
      <w:r w:rsidRPr="002524B6">
        <w:rPr>
          <w:rFonts w:ascii="Century Schoolbook" w:eastAsia="Times New Roman" w:hAnsi="Century Schoolbook" w:cs="Times New Roman"/>
          <w:sz w:val="28"/>
          <w:szCs w:val="28"/>
          <w:vertAlign w:val="subscript"/>
        </w:rPr>
        <w:t>фа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  <w:vertAlign w:val="subscript"/>
        </w:rPr>
        <w:t xml:space="preserve">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/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) * 100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бюджету: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76933,7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Дефіцит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бюджету: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0,17 *  76933,7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= 13078,7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Доходи бюджету: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Дефіцит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</w:t>
      </w:r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=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63855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Власні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доходи: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бюджету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Закріплені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доходи =  12555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К</w:t>
      </w:r>
      <w:r w:rsidRPr="002524B6">
        <w:rPr>
          <w:rFonts w:ascii="Century Schoolbook" w:eastAsia="Times New Roman" w:hAnsi="Century Schoolbook" w:cs="Times New Roman"/>
          <w:i/>
          <w:sz w:val="28"/>
          <w:szCs w:val="28"/>
          <w:vertAlign w:val="subscript"/>
        </w:rPr>
        <w:t>фа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19,7%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 xml:space="preserve">Задача 4.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Визначити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окремо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поточних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міського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за 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такими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напрямами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використання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коштів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бюджету: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захист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соціальне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забезпечення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2844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іально-культурна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сфера – 493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інвестиційна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43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сплата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основної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12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охорона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здоров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»я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6170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628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придбання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обладнання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транспортних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засобів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техніки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252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реалізація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програми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іально-економічного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351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pStyle w:val="a7"/>
        <w:numPr>
          <w:ilvl w:val="0"/>
          <w:numId w:val="28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фізична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культура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спорт - 146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ішення</w:t>
      </w:r>
      <w:proofErr w:type="spell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вс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бюджетів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поділяються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окремо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поточні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Поточні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—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це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витрати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мережі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ідприємств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установ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організацій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діють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початок бюджетного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періоду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також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щодо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соціального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захисту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населення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утримання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апарату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служб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соціального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обслуговування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витрати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бюджету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інвестиційної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інноваційної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кошти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реалізацію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програми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іально-економічного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капітальне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будівництво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придбання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обладнання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транспортних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засобів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техніки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розширене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відтворення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також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фінансування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субвенцій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сплату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основної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lastRenderedPageBreak/>
        <w:t>Поточні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захист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соціальне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забезпечення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2844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іально-культурна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сфера – 493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охорона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здоров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»я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6170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державне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управління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628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фізична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культура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спорт - 146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сума 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поточних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: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10281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i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Видатки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інвестиційна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діяльність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43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сплата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основної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частини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боргу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органів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місцевого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самоврядування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12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придбання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обладнання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транспортних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засобів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та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іншої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техніки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252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-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реалізація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програми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соц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іально-економічного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міста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351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суму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видатків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>розвитку</w:t>
      </w:r>
      <w:proofErr w:type="spellEnd"/>
      <w:r w:rsidRPr="002524B6">
        <w:rPr>
          <w:rFonts w:ascii="Century Schoolbook" w:eastAsia="Times New Roman" w:hAnsi="Century Schoolbook" w:cs="Times New Roman"/>
          <w:i/>
          <w:sz w:val="28"/>
          <w:szCs w:val="28"/>
        </w:rPr>
        <w:t xml:space="preserve">: </w:t>
      </w:r>
      <w:r w:rsidRPr="002524B6">
        <w:rPr>
          <w:rFonts w:ascii="Century Schoolbook" w:eastAsia="Times New Roman" w:hAnsi="Century Schoolbook" w:cs="Times New Roman"/>
          <w:sz w:val="28"/>
          <w:szCs w:val="28"/>
        </w:rPr>
        <w:t>658 тис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 xml:space="preserve">Задача 5.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Розрахувати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потребу району 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лікарняних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ліжках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враховуючи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що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в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районі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проживає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170 тис.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осіб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кількість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хворих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госпіталізовані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складає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32300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осіб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одне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лікарняне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ліжко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використовується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300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рік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середня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тривалість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перебування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хворого 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лікарні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становить 12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днів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.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Розрахувати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середньорічну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кількість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якщо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1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травня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планується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додатково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ввести в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експлуатацію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75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ішення</w:t>
      </w:r>
      <w:proofErr w:type="spell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Загальна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потреба у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іжковому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фонді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району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здійснююється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формулою: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>К = (В * Н) / (О * 100),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>де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К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середньорічна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кількість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В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відсоток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госпіталізації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Н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чисельність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населення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О – оборот одного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ліжка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Відсоток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госпіталізації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(32300 / 170000) * 100 = 19%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Оборот одного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ліжка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300 / 12 = 25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дні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</w:t>
      </w:r>
      <w:proofErr w:type="spellEnd"/>
      <w:proofErr w:type="gramEnd"/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К = (19 *170000) / (25 * 100) = 1292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ліжка</w:t>
      </w:r>
      <w:proofErr w:type="spellEnd"/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При плановому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збільшенні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протягом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року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середньорічна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кількість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К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  <w:vertAlign w:val="subscript"/>
        </w:rPr>
        <w:t>1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буде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складати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>К</w:t>
      </w:r>
      <w:r w:rsidRPr="002524B6">
        <w:rPr>
          <w:rFonts w:ascii="Century Schoolbook" w:eastAsia="Times New Roman" w:hAnsi="Century Schoolbook" w:cs="Times New Roman"/>
          <w:sz w:val="28"/>
          <w:szCs w:val="28"/>
          <w:vertAlign w:val="subscript"/>
        </w:rPr>
        <w:t>1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К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+ (Д * М /12),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lastRenderedPageBreak/>
        <w:t xml:space="preserve">де Д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плановий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прирі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ст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М – час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функціонування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додаткової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кількості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ліжок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>К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  <w:vertAlign w:val="subscript"/>
        </w:rPr>
        <w:t>1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1292 + (75*8/12) = 1342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ліжка</w:t>
      </w:r>
      <w:proofErr w:type="spellEnd"/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 xml:space="preserve">Задача 6.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Обчислити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суму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доходів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житлово-експлуатаційного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ідприємства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квартирної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плати у плановому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році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основі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наступних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даних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:</w:t>
      </w:r>
    </w:p>
    <w:p w:rsidR="00CB2880" w:rsidRPr="00CB2880" w:rsidRDefault="002524B6" w:rsidP="00CB2880">
      <w:pPr>
        <w:pStyle w:val="a7"/>
        <w:numPr>
          <w:ilvl w:val="0"/>
          <w:numId w:val="29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  <w:lang w:val="uk-UA"/>
        </w:rPr>
      </w:pP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середньорічна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ставка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квартплати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у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попередньому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році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– 6,1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./кв.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м;</w:t>
      </w:r>
      <w:proofErr w:type="spellEnd"/>
    </w:p>
    <w:p w:rsidR="002524B6" w:rsidRPr="00CB2880" w:rsidRDefault="002524B6" w:rsidP="00CB2880">
      <w:pPr>
        <w:pStyle w:val="a7"/>
        <w:numPr>
          <w:ilvl w:val="0"/>
          <w:numId w:val="29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оплачувана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житлова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площа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на початок </w:t>
      </w:r>
      <w:proofErr w:type="gram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планового</w:t>
      </w:r>
      <w:proofErr w:type="gram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року – </w:t>
      </w:r>
      <w:smartTag w:uri="urn:schemas-microsoft-com:office:smarttags" w:element="metricconverter">
        <w:smartTagPr>
          <w:attr w:name="ProductID" w:val="125400 кв. м"/>
        </w:smartTagPr>
        <w:r w:rsidRPr="00CB2880">
          <w:rPr>
            <w:rFonts w:ascii="Century Schoolbook" w:eastAsia="Times New Roman" w:hAnsi="Century Schoolbook" w:cs="Times New Roman"/>
            <w:sz w:val="28"/>
            <w:szCs w:val="28"/>
          </w:rPr>
          <w:t>125400 кв. м</w:t>
        </w:r>
      </w:smartTag>
      <w:r w:rsidRPr="00CB2880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CB2880" w:rsidRDefault="002524B6" w:rsidP="00CB2880">
      <w:pPr>
        <w:pStyle w:val="a7"/>
        <w:numPr>
          <w:ilvl w:val="0"/>
          <w:numId w:val="29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25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квітня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планується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ввести в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дію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житлову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площу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у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розмі</w:t>
      </w:r>
      <w:proofErr w:type="gram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gramEnd"/>
      <w:r w:rsidRPr="00CB2880">
        <w:rPr>
          <w:rFonts w:ascii="Century Schoolbook" w:eastAsia="Times New Roman" w:hAnsi="Century Schoolbook" w:cs="Times New Roman"/>
          <w:sz w:val="28"/>
          <w:szCs w:val="28"/>
        </w:rPr>
        <w:t>і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0 кв. м"/>
        </w:smartTagPr>
        <w:r w:rsidRPr="00CB2880">
          <w:rPr>
            <w:rFonts w:ascii="Century Schoolbook" w:eastAsia="Times New Roman" w:hAnsi="Century Schoolbook" w:cs="Times New Roman"/>
            <w:sz w:val="28"/>
            <w:szCs w:val="28"/>
          </w:rPr>
          <w:t>1500 кв. м</w:t>
        </w:r>
      </w:smartTag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, а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27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червня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– у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розмірі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0 кв. м"/>
        </w:smartTagPr>
        <w:r w:rsidRPr="00CB2880">
          <w:rPr>
            <w:rFonts w:ascii="Century Schoolbook" w:eastAsia="Times New Roman" w:hAnsi="Century Schoolbook" w:cs="Times New Roman"/>
            <w:sz w:val="28"/>
            <w:szCs w:val="28"/>
          </w:rPr>
          <w:t>460 кв. м</w:t>
        </w:r>
      </w:smartTag>
      <w:r w:rsidRPr="00CB2880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CB2880" w:rsidRDefault="002524B6" w:rsidP="00CB2880">
      <w:pPr>
        <w:pStyle w:val="a7"/>
        <w:numPr>
          <w:ilvl w:val="0"/>
          <w:numId w:val="29"/>
        </w:numPr>
        <w:spacing w:after="0"/>
        <w:ind w:left="0" w:firstLine="426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20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липня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буде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виведено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експлуатації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60 кв. м"/>
        </w:smartTagPr>
        <w:r w:rsidRPr="00CB2880">
          <w:rPr>
            <w:rFonts w:ascii="Century Schoolbook" w:eastAsia="Times New Roman" w:hAnsi="Century Schoolbook" w:cs="Times New Roman"/>
            <w:sz w:val="28"/>
            <w:szCs w:val="28"/>
          </w:rPr>
          <w:t>360 кв. м</w:t>
        </w:r>
      </w:smartTag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житлової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площі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, а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26 </w:t>
      </w:r>
      <w:proofErr w:type="spellStart"/>
      <w:r w:rsidRPr="00CB2880">
        <w:rPr>
          <w:rFonts w:ascii="Century Schoolbook" w:eastAsia="Times New Roman" w:hAnsi="Century Schoolbook" w:cs="Times New Roman"/>
          <w:sz w:val="28"/>
          <w:szCs w:val="28"/>
        </w:rPr>
        <w:t>серпня</w:t>
      </w:r>
      <w:proofErr w:type="spellEnd"/>
      <w:r w:rsidRPr="00CB2880">
        <w:rPr>
          <w:rFonts w:ascii="Century Schoolbook" w:eastAsia="Times New Roman" w:hAnsi="Century Schoolbook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40 кв. м"/>
        </w:smartTagPr>
        <w:r w:rsidRPr="00CB2880">
          <w:rPr>
            <w:rFonts w:ascii="Century Schoolbook" w:eastAsia="Times New Roman" w:hAnsi="Century Schoolbook" w:cs="Times New Roman"/>
            <w:sz w:val="28"/>
            <w:szCs w:val="28"/>
          </w:rPr>
          <w:t>240 кв. м</w:t>
        </w:r>
      </w:smartTag>
      <w:r w:rsidRPr="00CB2880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b/>
          <w:i/>
          <w:sz w:val="28"/>
          <w:szCs w:val="28"/>
        </w:rPr>
      </w:pPr>
      <w:proofErr w:type="spellStart"/>
      <w:proofErr w:type="gramStart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ішення</w:t>
      </w:r>
      <w:proofErr w:type="spellEnd"/>
      <w:r w:rsidRPr="002524B6">
        <w:rPr>
          <w:rFonts w:ascii="Century Schoolbook" w:eastAsia="Times New Roman" w:hAnsi="Century Schoolbook" w:cs="Times New Roman"/>
          <w:b/>
          <w:i/>
          <w:sz w:val="28"/>
          <w:szCs w:val="28"/>
        </w:rPr>
        <w:t>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Розмі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середньорічної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оплачуваної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площі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(Ж) у плановому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році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обчислюється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формулою: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Ж = 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+ В * М : 12 – Н * (12 – М) : 12, 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де 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розмір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площі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на початок року;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В – 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розмі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площі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яка вводиться в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дію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Н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розмі</w:t>
      </w: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spellEnd"/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площі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яка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вибуває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експлуатації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;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    М –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кількість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місяців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функціонування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житлової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площі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р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>ік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яка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обчислюється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починаючи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з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1 числа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місяца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,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наступного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за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місяцем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її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введення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(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виведення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) в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експлуатацію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proofErr w:type="gram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Ж</w:t>
      </w:r>
      <w:proofErr w:type="gram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=  125400 + 1500 * 8:12+460*6:12-360*(12-7):12-240*(12-8):12 = </w:t>
      </w:r>
      <w:smartTag w:uri="urn:schemas-microsoft-com:office:smarttags" w:element="metricconverter">
        <w:smartTagPr>
          <w:attr w:name="ProductID" w:val="126400 кв. м"/>
        </w:smartTagPr>
        <w:r w:rsidRPr="002524B6">
          <w:rPr>
            <w:rFonts w:ascii="Century Schoolbook" w:eastAsia="Times New Roman" w:hAnsi="Century Schoolbook" w:cs="Times New Roman"/>
            <w:sz w:val="28"/>
            <w:szCs w:val="28"/>
          </w:rPr>
          <w:t>126400 кв. м</w:t>
        </w:r>
      </w:smartTag>
    </w:p>
    <w:p w:rsidR="002524B6" w:rsidRPr="002524B6" w:rsidRDefault="002524B6" w:rsidP="002524B6">
      <w:pPr>
        <w:spacing w:after="0"/>
        <w:ind w:firstLine="720"/>
        <w:jc w:val="both"/>
        <w:rPr>
          <w:rFonts w:ascii="Century Schoolbook" w:eastAsia="Times New Roman" w:hAnsi="Century Schoolbook" w:cs="Times New Roman"/>
          <w:sz w:val="28"/>
          <w:szCs w:val="28"/>
        </w:rPr>
      </w:pPr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Доходи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від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квартирної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плати = </w:t>
      </w:r>
      <w:smartTag w:uri="urn:schemas-microsoft-com:office:smarttags" w:element="metricconverter">
        <w:smartTagPr>
          <w:attr w:name="ProductID" w:val="126400 кв. м"/>
        </w:smartTagPr>
        <w:r w:rsidRPr="002524B6">
          <w:rPr>
            <w:rFonts w:ascii="Century Schoolbook" w:eastAsia="Times New Roman" w:hAnsi="Century Schoolbook" w:cs="Times New Roman"/>
            <w:sz w:val="28"/>
            <w:szCs w:val="28"/>
          </w:rPr>
          <w:t>126400 кв. м</w:t>
        </w:r>
      </w:smartTag>
      <w:r w:rsidRPr="002524B6">
        <w:rPr>
          <w:rFonts w:ascii="Century Schoolbook" w:eastAsia="Times New Roman" w:hAnsi="Century Schoolbook" w:cs="Times New Roman"/>
          <w:sz w:val="28"/>
          <w:szCs w:val="28"/>
        </w:rPr>
        <w:t xml:space="preserve"> * 6,1 = 771040 </w:t>
      </w:r>
      <w:proofErr w:type="spellStart"/>
      <w:r w:rsidRPr="002524B6">
        <w:rPr>
          <w:rFonts w:ascii="Century Schoolbook" w:eastAsia="Times New Roman" w:hAnsi="Century Schoolbook" w:cs="Times New Roman"/>
          <w:sz w:val="28"/>
          <w:szCs w:val="28"/>
        </w:rPr>
        <w:t>грн</w:t>
      </w:r>
      <w:proofErr w:type="spellEnd"/>
      <w:r w:rsidRPr="002524B6">
        <w:rPr>
          <w:rFonts w:ascii="Century Schoolbook" w:eastAsia="Times New Roman" w:hAnsi="Century Schoolbook" w:cs="Times New Roman"/>
          <w:sz w:val="28"/>
          <w:szCs w:val="28"/>
        </w:rPr>
        <w:t>.</w:t>
      </w:r>
    </w:p>
    <w:p w:rsidR="002524B6" w:rsidRPr="002524B6" w:rsidRDefault="002524B6" w:rsidP="002524B6">
      <w:pPr>
        <w:spacing w:after="0"/>
        <w:jc w:val="center"/>
        <w:rPr>
          <w:rFonts w:ascii="Century Schoolbook" w:eastAsia="Times New Roman" w:hAnsi="Century Schoolbook" w:cs="Times New Roman"/>
          <w:sz w:val="28"/>
          <w:szCs w:val="28"/>
        </w:rPr>
      </w:pPr>
    </w:p>
    <w:p w:rsidR="00DD49D3" w:rsidRPr="002524B6" w:rsidRDefault="00DD49D3" w:rsidP="002524B6">
      <w:pPr>
        <w:keepNext/>
        <w:spacing w:after="0"/>
        <w:ind w:firstLine="709"/>
        <w:jc w:val="both"/>
        <w:rPr>
          <w:rFonts w:ascii="Century Schoolbook" w:hAnsi="Century Schoolbook"/>
          <w:sz w:val="28"/>
          <w:szCs w:val="28"/>
        </w:rPr>
      </w:pPr>
    </w:p>
    <w:sectPr w:rsidR="00DD49D3" w:rsidRPr="002524B6" w:rsidSect="008E37E1">
      <w:pgSz w:w="11910" w:h="16840"/>
      <w:pgMar w:top="1040" w:right="680" w:bottom="940" w:left="1200" w:header="0" w:footer="751" w:gutter="0"/>
      <w:pgBorders w:offsetFrom="page">
        <w:top w:val="thinThickThinMediumGap" w:sz="36" w:space="24" w:color="FABF8F" w:themeColor="accent6" w:themeTint="99"/>
        <w:bottom w:val="thinThickThinMediumGap" w:sz="36" w:space="24" w:color="FABF8F" w:themeColor="accent6" w:themeTint="99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9C46B3"/>
    <w:multiLevelType w:val="hybridMultilevel"/>
    <w:tmpl w:val="0712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3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4">
    <w:nsid w:val="14604F30"/>
    <w:multiLevelType w:val="hybridMultilevel"/>
    <w:tmpl w:val="5EDA3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82CC0"/>
    <w:multiLevelType w:val="hybridMultilevel"/>
    <w:tmpl w:val="0F78EA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434C52"/>
    <w:multiLevelType w:val="multilevel"/>
    <w:tmpl w:val="89060BBA"/>
    <w:lvl w:ilvl="0">
      <w:start w:val="6"/>
      <w:numFmt w:val="decimal"/>
      <w:lvlText w:val="%1"/>
      <w:lvlJc w:val="left"/>
      <w:pPr>
        <w:ind w:left="132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2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3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9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6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6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548"/>
      </w:pPr>
      <w:rPr>
        <w:rFonts w:hint="default"/>
        <w:lang w:val="ru-RU" w:eastAsia="ru-RU" w:bidi="ru-RU"/>
      </w:rPr>
    </w:lvl>
  </w:abstractNum>
  <w:abstractNum w:abstractNumId="7">
    <w:nsid w:val="223A3F8B"/>
    <w:multiLevelType w:val="hybridMultilevel"/>
    <w:tmpl w:val="E54C5BC6"/>
    <w:lvl w:ilvl="0" w:tplc="508C6236">
      <w:start w:val="1"/>
      <w:numFmt w:val="decimal"/>
      <w:lvlText w:val="%1."/>
      <w:lvlJc w:val="left"/>
      <w:pPr>
        <w:ind w:left="10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7442AC">
      <w:numFmt w:val="bullet"/>
      <w:lvlText w:val="•"/>
      <w:lvlJc w:val="left"/>
      <w:pPr>
        <w:ind w:left="2096" w:hanging="245"/>
      </w:pPr>
      <w:rPr>
        <w:rFonts w:hint="default"/>
        <w:lang w:val="en-US" w:eastAsia="en-US" w:bidi="en-US"/>
      </w:rPr>
    </w:lvl>
    <w:lvl w:ilvl="2" w:tplc="3D7AE9E8"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en-US"/>
      </w:rPr>
    </w:lvl>
    <w:lvl w:ilvl="3" w:tplc="20B4EAFE">
      <w:numFmt w:val="bullet"/>
      <w:lvlText w:val="•"/>
      <w:lvlJc w:val="left"/>
      <w:pPr>
        <w:ind w:left="4249" w:hanging="245"/>
      </w:pPr>
      <w:rPr>
        <w:rFonts w:hint="default"/>
        <w:lang w:val="en-US" w:eastAsia="en-US" w:bidi="en-US"/>
      </w:rPr>
    </w:lvl>
    <w:lvl w:ilvl="4" w:tplc="C2A81EFE">
      <w:numFmt w:val="bullet"/>
      <w:lvlText w:val="•"/>
      <w:lvlJc w:val="left"/>
      <w:pPr>
        <w:ind w:left="5325" w:hanging="245"/>
      </w:pPr>
      <w:rPr>
        <w:rFonts w:hint="default"/>
        <w:lang w:val="en-US" w:eastAsia="en-US" w:bidi="en-US"/>
      </w:rPr>
    </w:lvl>
    <w:lvl w:ilvl="5" w:tplc="775ED6AC">
      <w:numFmt w:val="bullet"/>
      <w:lvlText w:val="•"/>
      <w:lvlJc w:val="left"/>
      <w:pPr>
        <w:ind w:left="6402" w:hanging="245"/>
      </w:pPr>
      <w:rPr>
        <w:rFonts w:hint="default"/>
        <w:lang w:val="en-US" w:eastAsia="en-US" w:bidi="en-US"/>
      </w:rPr>
    </w:lvl>
    <w:lvl w:ilvl="6" w:tplc="FD7C31EC">
      <w:numFmt w:val="bullet"/>
      <w:lvlText w:val="•"/>
      <w:lvlJc w:val="left"/>
      <w:pPr>
        <w:ind w:left="7478" w:hanging="245"/>
      </w:pPr>
      <w:rPr>
        <w:rFonts w:hint="default"/>
        <w:lang w:val="en-US" w:eastAsia="en-US" w:bidi="en-US"/>
      </w:rPr>
    </w:lvl>
    <w:lvl w:ilvl="7" w:tplc="9758A7BC">
      <w:numFmt w:val="bullet"/>
      <w:lvlText w:val="•"/>
      <w:lvlJc w:val="left"/>
      <w:pPr>
        <w:ind w:left="8554" w:hanging="245"/>
      </w:pPr>
      <w:rPr>
        <w:rFonts w:hint="default"/>
        <w:lang w:val="en-US" w:eastAsia="en-US" w:bidi="en-US"/>
      </w:rPr>
    </w:lvl>
    <w:lvl w:ilvl="8" w:tplc="6FE64AE2">
      <w:numFmt w:val="bullet"/>
      <w:lvlText w:val="•"/>
      <w:lvlJc w:val="left"/>
      <w:pPr>
        <w:ind w:left="9631" w:hanging="245"/>
      </w:pPr>
      <w:rPr>
        <w:rFonts w:hint="default"/>
        <w:lang w:val="en-US" w:eastAsia="en-US" w:bidi="en-US"/>
      </w:rPr>
    </w:lvl>
  </w:abstractNum>
  <w:abstractNum w:abstractNumId="8">
    <w:nsid w:val="2A3A2182"/>
    <w:multiLevelType w:val="hybridMultilevel"/>
    <w:tmpl w:val="608E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C739A"/>
    <w:multiLevelType w:val="hybridMultilevel"/>
    <w:tmpl w:val="607E3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12">
    <w:nsid w:val="32B87524"/>
    <w:multiLevelType w:val="hybridMultilevel"/>
    <w:tmpl w:val="75A8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B7F6F"/>
    <w:multiLevelType w:val="hybridMultilevel"/>
    <w:tmpl w:val="3716C0FA"/>
    <w:lvl w:ilvl="0" w:tplc="4F82AB2A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82809"/>
    <w:multiLevelType w:val="hybridMultilevel"/>
    <w:tmpl w:val="4B6E31C6"/>
    <w:lvl w:ilvl="0" w:tplc="E1A4D79E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B643F9E"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0BA64CDE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6010ABB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890457C"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0DFAB162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8A52EED6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1B6435A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30AE13F0"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17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9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000E2B"/>
    <w:multiLevelType w:val="hybridMultilevel"/>
    <w:tmpl w:val="E35CBF24"/>
    <w:lvl w:ilvl="0" w:tplc="22C43B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EE1DED"/>
    <w:multiLevelType w:val="hybridMultilevel"/>
    <w:tmpl w:val="D90C5998"/>
    <w:lvl w:ilvl="0" w:tplc="711829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C774E"/>
    <w:multiLevelType w:val="hybridMultilevel"/>
    <w:tmpl w:val="62002DEE"/>
    <w:lvl w:ilvl="0" w:tplc="85D4A7AA">
      <w:start w:val="1"/>
      <w:numFmt w:val="decimal"/>
      <w:lvlText w:val="%1."/>
      <w:lvlJc w:val="left"/>
      <w:pPr>
        <w:ind w:left="5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DC53D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2AE02624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A2E258AE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5F5243EA"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D5E2CD5A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A866F2EE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3D0B276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0C9049E6"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25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26">
    <w:nsid w:val="69E006BB"/>
    <w:multiLevelType w:val="hybridMultilevel"/>
    <w:tmpl w:val="A3161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8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11"/>
  </w:num>
  <w:num w:numId="5">
    <w:abstractNumId w:val="17"/>
  </w:num>
  <w:num w:numId="6">
    <w:abstractNumId w:val="15"/>
  </w:num>
  <w:num w:numId="7">
    <w:abstractNumId w:val="9"/>
  </w:num>
  <w:num w:numId="8">
    <w:abstractNumId w:val="20"/>
  </w:num>
  <w:num w:numId="9">
    <w:abstractNumId w:val="14"/>
  </w:num>
  <w:num w:numId="10">
    <w:abstractNumId w:val="2"/>
  </w:num>
  <w:num w:numId="11">
    <w:abstractNumId w:val="18"/>
  </w:num>
  <w:num w:numId="12">
    <w:abstractNumId w:val="3"/>
  </w:num>
  <w:num w:numId="13">
    <w:abstractNumId w:val="0"/>
  </w:num>
  <w:num w:numId="14">
    <w:abstractNumId w:val="28"/>
  </w:num>
  <w:num w:numId="15">
    <w:abstractNumId w:val="19"/>
  </w:num>
  <w:num w:numId="16">
    <w:abstractNumId w:val="24"/>
  </w:num>
  <w:num w:numId="17">
    <w:abstractNumId w:val="16"/>
  </w:num>
  <w:num w:numId="18">
    <w:abstractNumId w:val="6"/>
  </w:num>
  <w:num w:numId="19">
    <w:abstractNumId w:val="7"/>
  </w:num>
  <w:num w:numId="20">
    <w:abstractNumId w:val="21"/>
  </w:num>
  <w:num w:numId="21">
    <w:abstractNumId w:val="22"/>
  </w:num>
  <w:num w:numId="22">
    <w:abstractNumId w:val="13"/>
  </w:num>
  <w:num w:numId="23">
    <w:abstractNumId w:val="8"/>
  </w:num>
  <w:num w:numId="24">
    <w:abstractNumId w:val="5"/>
  </w:num>
  <w:num w:numId="25">
    <w:abstractNumId w:val="4"/>
  </w:num>
  <w:num w:numId="26">
    <w:abstractNumId w:val="1"/>
  </w:num>
  <w:num w:numId="27">
    <w:abstractNumId w:val="12"/>
  </w:num>
  <w:num w:numId="28">
    <w:abstractNumId w:val="1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17485D"/>
    <w:rsid w:val="001E625B"/>
    <w:rsid w:val="002524B6"/>
    <w:rsid w:val="00311B41"/>
    <w:rsid w:val="003271F9"/>
    <w:rsid w:val="00327E8B"/>
    <w:rsid w:val="00336892"/>
    <w:rsid w:val="003A3825"/>
    <w:rsid w:val="003D4316"/>
    <w:rsid w:val="00430FA7"/>
    <w:rsid w:val="004A645F"/>
    <w:rsid w:val="004A723C"/>
    <w:rsid w:val="005228FA"/>
    <w:rsid w:val="0061396E"/>
    <w:rsid w:val="00613C88"/>
    <w:rsid w:val="006E2CB2"/>
    <w:rsid w:val="00713CF8"/>
    <w:rsid w:val="007E6BCB"/>
    <w:rsid w:val="007F526A"/>
    <w:rsid w:val="00840B11"/>
    <w:rsid w:val="0085216D"/>
    <w:rsid w:val="008D29A9"/>
    <w:rsid w:val="008E37E1"/>
    <w:rsid w:val="00917B4E"/>
    <w:rsid w:val="00961297"/>
    <w:rsid w:val="00CB2880"/>
    <w:rsid w:val="00CB340C"/>
    <w:rsid w:val="00D01357"/>
    <w:rsid w:val="00D411E4"/>
    <w:rsid w:val="00DD49D3"/>
    <w:rsid w:val="00E44EB0"/>
    <w:rsid w:val="00E62FB6"/>
    <w:rsid w:val="00EC6190"/>
    <w:rsid w:val="00ED2FD8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ru v:ext="edit" colors="#c6f"/>
      <o:colormenu v:ext="edit" fillcolor="#c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27E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52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cgi-bin/laws/main.cgi?nreg=280%2F97-%E2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http://zakon1.rada.gov.ua/cgibin/laws/main.cgi?user=a&amp;find=1&amp;typ=21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2019-11-29T11:02:00Z</dcterms:created>
  <dcterms:modified xsi:type="dcterms:W3CDTF">2019-12-06T06:57:00Z</dcterms:modified>
</cp:coreProperties>
</file>